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b/>
          <w:bCs/>
          <w:color w:val="1A1A1A"/>
          <w:sz w:val="56"/>
          <w:szCs w:val="56"/>
        </w:rPr>
        <w:t xml:space="preserve">PROGRAMA MENICOM READAPTACIÓN</w:t>
      </w:r>
    </w:p>
    <w:p>
      <w:pPr>
        <w:spacing w:before="200"/>
      </w:pPr>
      <w:r>
        <w:rPr>
          <w:color w:val="8B6F47"/>
          <w:sz w:val="32"/>
          <w:szCs w:val="32"/>
        </w:rPr>
        <w:t xml:space="preserve">Avatar de IA · 5 momentos · 50 ópticas piloto</w:t>
      </w:r>
    </w:p>
    <w:p>
      <w:pPr>
        <w:spacing w:before="600"/>
      </w:pPr>
      <w:r>
        <w:rPr>
          <w:i/>
          <w:iCs/>
          <w:color w:val="555555"/>
          <w:sz w:val="24"/>
          <w:szCs w:val="24"/>
        </w:rPr>
        <w:t xml:space="preserve">Documento maestro</w:t>
      </w:r>
    </w:p>
    <w:p>
      <w:r>
        <w:rPr>
          <w:color w:val="555555"/>
          <w:sz w:val="22"/>
          <w:szCs w:val="22"/>
        </w:rPr>
        <w:t xml:space="preserve">Borrador v1 · Mayo 2026</w:t>
      </w:r>
    </w:p>
    <w:p>
      <w:pPr>
        <w:spacing w:before="1600"/>
      </w:pPr>
      <w:r>
        <w:rPr>
          <w:b/>
          <w:bCs/>
          <w:color w:val="1A1A1A"/>
          <w:sz w:val="24"/>
          <w:szCs w:val="24"/>
        </w:rPr>
        <w:t xml:space="preserve">Praxia Atelier</w:t>
      </w:r>
    </w:p>
    <w:p>
      <w:r>
        <w:rPr>
          <w:color w:val="555555"/>
          <w:sz w:val="20"/>
          <w:szCs w:val="20"/>
        </w:rPr>
        <w:t xml:space="preserve">Para uso interno de Menicom Iberia</w:t>
      </w:r>
    </w:p>
    <w:p>
      <w:r>
        <w:br w:type="page"/>
      </w:r>
    </w:p>
    <w:p>
      <w:pPr>
        <w:pStyle w:val="Heading1"/>
        <w:spacing w:after="200" w:before="400"/>
      </w:pPr>
      <w:r>
        <w:rPr>
          <w:b/>
          <w:bCs/>
          <w:color w:val="1A1A1A"/>
          <w:sz w:val="36"/>
          <w:szCs w:val="36"/>
        </w:rPr>
        <w:t xml:space="preserve">1 · Resumen ejecutivo</w:t>
      </w:r>
    </w:p>
    <w:p>
      <w:pPr>
        <w:spacing w:after="140"/>
        <w:jc w:val="both"/>
      </w:pPr>
      <w:r>
        <w:rPr>
          <w:color w:val="1A1A1A"/>
          <w:sz w:val="22"/>
          <w:szCs w:val="22"/>
        </w:rPr>
        <w:t xml:space="preserve">El óptico independiente español pierde recurrencia de lentes blandas frente a la compra online. La causa no es el precio: es la estructura de canal. Marcas como CooperVision tienen presencia masiva en plataformas (Vision Direct, Lentiamo, Lentes-de-contacto.es), lo que permite al paciente readaptar en gabinete y reponer fuera. El óptico capta la primera caja, pierde las once siguientes.</w:t>
      </w:r>
    </w:p>
    <w:p>
      <w:pPr>
        <w:spacing w:after="140"/>
        <w:jc w:val="both"/>
      </w:pPr>
      <w:r>
        <w:rPr>
          <w:color w:val="1A1A1A"/>
          <w:sz w:val="22"/>
          <w:szCs w:val="22"/>
        </w:rPr>
        <w:t xml:space="preserve">Menicom Miru tiene una propiedad estructural que cambia el juego: distribución casi exclusivamente profesional, presencia online residual en España. Esto, presentado correctamente, deja de ser una limitación comercial y se convierte en el argumento de fidelidad más fuerte que un óptico puede oír. Cada paciente readaptado a Miru queda blindado al canal óptica durante toda la vida del paciente.</w:t>
      </w:r>
    </w:p>
    <w:p>
      <w:pPr>
        <w:spacing w:after="140"/>
        <w:jc w:val="both"/>
      </w:pPr>
      <w:r>
        <w:rPr>
          <w:color w:val="1A1A1A"/>
          <w:sz w:val="22"/>
          <w:szCs w:val="22"/>
        </w:rPr>
        <w:t xml:space="preserve">Este documento describe el programa de readaptación que Praxia Atelier propone a Menicom: un sistema con avatar de IA en cinco momentos del ciclo del paciente, un piloto en 50 ópticas seleccionadas, y un simulador de margen que cuantifica el dinero que el óptico está dejando sobre la mesa hoy. El objetivo del piloto es lograr el 52% de crecimiento en lentes blandas que la dirección comercial pide para el ejercicio, sin captar pacientes nuevos: solo readaptando los que ya tiene cada óptico.</w:t>
      </w:r>
    </w:p>
    <w:p>
      <w:pPr>
        <w:pStyle w:val="Heading2"/>
        <w:spacing w:after="150" w:before="300"/>
      </w:pPr>
      <w:r>
        <w:rPr>
          <w:b/>
          <w:bCs/>
          <w:color w:val="1A1A1A"/>
          <w:sz w:val="28"/>
          <w:szCs w:val="28"/>
        </w:rPr>
        <w:t xml:space="preserve">Lo que entrega Praxia</w:t>
      </w:r>
    </w:p>
    <w:p>
      <w:pPr>
        <w:pStyle w:val="ListParagraph"/>
        <w:numPr>
          <w:ilvl w:val="0"/>
          <w:numId w:val="2"/>
        </w:numPr>
        <w:spacing w:after="80"/>
      </w:pPr>
      <w:r>
        <w:rPr>
          <w:color w:val="1A1A1A"/>
          <w:sz w:val="22"/>
          <w:szCs w:val="22"/>
        </w:rPr>
        <w:t xml:space="preserve">Sistema avatar de 5 momentos (pre-gabinete, gabinete conversacional, cierre, seguimiento 24-72h, reposición).</w:t>
      </w:r>
    </w:p>
    <w:p>
      <w:pPr>
        <w:pStyle w:val="ListParagraph"/>
        <w:numPr>
          <w:ilvl w:val="0"/>
          <w:numId w:val="2"/>
        </w:numPr>
        <w:spacing w:after="80"/>
      </w:pPr>
      <w:r>
        <w:rPr>
          <w:color w:val="1A1A1A"/>
          <w:sz w:val="22"/>
          <w:szCs w:val="22"/>
        </w:rPr>
        <w:t xml:space="preserve">Simulador de margen Excel con tres pestañas: fuga online, margen blindado, sprint 50 ópticas × 12 meses.</w:t>
      </w:r>
    </w:p>
    <w:p>
      <w:pPr>
        <w:pStyle w:val="ListParagraph"/>
        <w:numPr>
          <w:ilvl w:val="0"/>
          <w:numId w:val="2"/>
        </w:numPr>
        <w:spacing w:after="80"/>
      </w:pPr>
      <w:r>
        <w:rPr>
          <w:color w:val="1A1A1A"/>
          <w:sz w:val="22"/>
          <w:szCs w:val="22"/>
        </w:rPr>
        <w:t xml:space="preserve">Argumentario clínico Menicom Miru con 6 dudas-tipo del paciente y respuesta clínica + comercial.</w:t>
      </w:r>
    </w:p>
    <w:p>
      <w:pPr>
        <w:pStyle w:val="ListParagraph"/>
        <w:numPr>
          <w:ilvl w:val="0"/>
          <w:numId w:val="2"/>
        </w:numPr>
        <w:spacing w:after="80"/>
      </w:pPr>
      <w:r>
        <w:rPr>
          <w:color w:val="1A1A1A"/>
          <w:sz w:val="22"/>
          <w:szCs w:val="22"/>
        </w:rPr>
        <w:t xml:space="preserve">Mapa de 50 ópticas piloto en Castilla-La Mancha, País Vasco y zona Alicante con criterios de selección.</w:t>
      </w:r>
    </w:p>
    <w:p>
      <w:pPr>
        <w:pStyle w:val="ListParagraph"/>
        <w:numPr>
          <w:ilvl w:val="0"/>
          <w:numId w:val="2"/>
        </w:numPr>
        <w:spacing w:after="80"/>
      </w:pPr>
      <w:r>
        <w:rPr>
          <w:color w:val="1A1A1A"/>
          <w:sz w:val="22"/>
          <w:szCs w:val="22"/>
        </w:rPr>
        <w:t xml:space="preserve">Presentación interna para dirección Menicom (8-10 slides) y pitch comercial para óptico (5 slides).</w:t>
      </w:r>
    </w:p>
    <w:p>
      <w:pPr>
        <w:pStyle w:val="Heading2"/>
        <w:spacing w:after="150" w:before="300"/>
      </w:pPr>
      <w:r>
        <w:rPr>
          <w:b/>
          <w:bCs/>
          <w:color w:val="1A1A1A"/>
          <w:sz w:val="28"/>
          <w:szCs w:val="28"/>
        </w:rPr>
        <w:t xml:space="preserve">Lo que se pide a Menicom</w:t>
      </w:r>
    </w:p>
    <w:p>
      <w:pPr>
        <w:pStyle w:val="ListParagraph"/>
        <w:numPr>
          <w:ilvl w:val="0"/>
          <w:numId w:val="2"/>
        </w:numPr>
        <w:spacing w:after="80"/>
      </w:pPr>
      <w:r>
        <w:rPr>
          <w:color w:val="1A1A1A"/>
          <w:sz w:val="22"/>
          <w:szCs w:val="22"/>
        </w:rPr>
        <w:t xml:space="preserve">Validación interna del modelo de margen estimado (los números reales solo los tiene Menicom).</w:t>
      </w:r>
    </w:p>
    <w:p>
      <w:pPr>
        <w:pStyle w:val="ListParagraph"/>
        <w:numPr>
          <w:ilvl w:val="0"/>
          <w:numId w:val="2"/>
        </w:numPr>
        <w:spacing w:after="80"/>
      </w:pPr>
      <w:r>
        <w:rPr>
          <w:color w:val="1A1A1A"/>
          <w:sz w:val="22"/>
          <w:szCs w:val="22"/>
        </w:rPr>
        <w:t xml:space="preserve">Comprometer banco de prueba dotado para las 50 ópticas piloto.</w:t>
      </w:r>
    </w:p>
    <w:p>
      <w:pPr>
        <w:pStyle w:val="ListParagraph"/>
        <w:numPr>
          <w:ilvl w:val="0"/>
          <w:numId w:val="2"/>
        </w:numPr>
        <w:spacing w:after="80"/>
      </w:pPr>
      <w:r>
        <w:rPr>
          <w:color w:val="1A1A1A"/>
          <w:sz w:val="22"/>
          <w:szCs w:val="22"/>
        </w:rPr>
        <w:t xml:space="preserve">Comercial dedicado al sprint (5 visitas/día durante 6 semanas, ya prevista en planning de Marta).</w:t>
      </w:r>
    </w:p>
    <w:p>
      <w:pPr>
        <w:pStyle w:val="ListParagraph"/>
        <w:numPr>
          <w:ilvl w:val="0"/>
          <w:numId w:val="2"/>
        </w:numPr>
        <w:spacing w:after="80"/>
      </w:pPr>
      <w:r>
        <w:rPr>
          <w:color w:val="1A1A1A"/>
          <w:sz w:val="22"/>
          <w:szCs w:val="22"/>
        </w:rPr>
        <w:t xml:space="preserve">Contenido clínico interno que alimente el guion del avatar.</w:t>
      </w:r>
    </w:p>
    <w:p>
      <w:r>
        <w:br w:type="page"/>
      </w:r>
    </w:p>
    <w:p>
      <w:pPr>
        <w:pStyle w:val="Heading1"/>
        <w:spacing w:after="200" w:before="400"/>
      </w:pPr>
      <w:r>
        <w:rPr>
          <w:b/>
          <w:bCs/>
          <w:color w:val="1A1A1A"/>
          <w:sz w:val="36"/>
          <w:szCs w:val="36"/>
        </w:rPr>
        <w:t xml:space="preserve">2 · El insight que sostiene el programa</w:t>
      </w:r>
    </w:p>
    <w:p>
      <w:pPr>
        <w:pStyle w:val="Heading2"/>
        <w:spacing w:after="150" w:before="300"/>
      </w:pPr>
      <w:r>
        <w:rPr>
          <w:b/>
          <w:bCs/>
          <w:color w:val="1A1A1A"/>
          <w:sz w:val="28"/>
          <w:szCs w:val="28"/>
        </w:rPr>
        <w:t xml:space="preserve">Lo que pasa hoy con Cooper</w:t>
      </w:r>
    </w:p>
    <w:p>
      <w:pPr>
        <w:spacing w:after="140"/>
        <w:jc w:val="both"/>
      </w:pPr>
      <w:r>
        <w:rPr>
          <w:color w:val="1A1A1A"/>
          <w:sz w:val="22"/>
          <w:szCs w:val="22"/>
        </w:rPr>
        <w:t xml:space="preserve">Una paciente de 42 años entra en una óptica independiente en Albacete. Lleva tres años con miopía y astigmatismo y quiere lentes de contacto. El óptico le adapta Biofinity Toric. Le cobra entre 32 y 38 euros la caja de tres lentes y le da pauta de seis meses. La paciente sale contenta.</w:t>
      </w:r>
    </w:p>
    <w:p>
      <w:pPr>
        <w:spacing w:after="140"/>
        <w:jc w:val="both"/>
      </w:pPr>
      <w:r>
        <w:rPr>
          <w:color w:val="1A1A1A"/>
          <w:sz w:val="22"/>
          <w:szCs w:val="22"/>
        </w:rPr>
        <w:t xml:space="preserve">A las cuatro semanas, antes de que se le acabe la primera caja, la paciente teclea “Biofinity Toric” en Google. Vision Direct, Lentiamo y Lentes-de-contacto.es le ofrecen la misma caja a entre 22 y 28 euros, con envío en 24 horas. La diferencia es de 8 a 14 euros por caja. Compra online. La óptica nunca verá la segunda caja, ni la tercera, ni las nueve siguientes.</w:t>
      </w:r>
    </w:p>
    <w:p>
      <w:pPr>
        <w:spacing w:after="140"/>
        <w:jc w:val="both"/>
      </w:pPr>
      <w:r>
        <w:rPr>
          <w:color w:val="1A1A1A"/>
          <w:sz w:val="22"/>
          <w:szCs w:val="22"/>
        </w:rPr>
        <w:t xml:space="preserve">Cooper tiene presencia online porque su modelo de distribución lo permite: vende tanto a profesionales como a plataformas, y eso cuece al óptico. Esto es lo que ha empujado el margen recurrente del canal óptica a la baja durante los últimos cinco años.</w:t>
      </w:r>
    </w:p>
    <w:p>
      <w:pPr>
        <w:pStyle w:val="Heading2"/>
        <w:spacing w:after="150" w:before="300"/>
      </w:pPr>
      <w:r>
        <w:rPr>
          <w:b/>
          <w:bCs/>
          <w:color w:val="1A1A1A"/>
          <w:sz w:val="28"/>
          <w:szCs w:val="28"/>
        </w:rPr>
        <w:t xml:space="preserve">Lo que pasa con Menicom Miru</w:t>
      </w:r>
    </w:p>
    <w:p>
      <w:pPr>
        <w:spacing w:after="140"/>
        <w:jc w:val="both"/>
      </w:pPr>
      <w:r>
        <w:rPr>
          <w:color w:val="1A1A1A"/>
          <w:sz w:val="22"/>
          <w:szCs w:val="22"/>
        </w:rPr>
        <w:t xml:space="preserve">Misma paciente, misma óptica, misma necesidad. El óptico le adapta Miru 1day UpSide. Le cobra el precio que decida. Cuando la paciente teclea “Miru” en Google, no encuentra prácticamente ningún ecommerce de gran público en España con stock relevante. Las pocas referencias online corresponden a la gama Miru 1month en plataformas con catálogos amplios, sin descuentos agresivos y sin distribución masiva.</w:t>
      </w:r>
    </w:p>
    <w:p>
      <w:pPr>
        <w:spacing w:after="140"/>
        <w:jc w:val="both"/>
      </w:pPr>
      <w:r>
        <w:rPr>
          <w:color w:val="1A1A1A"/>
          <w:sz w:val="22"/>
          <w:szCs w:val="22"/>
        </w:rPr>
        <w:t xml:space="preserve">Resultado: la paciente vuelve a la óptica para reponer. La óptica capta no solo la primera caja, sino las doce siguientes. El margen recurrente queda en el gabinete durante toda la vida del paciente.</w:t>
      </w:r>
    </w:p>
    <w:p>
      <w:pPr>
        <w:pBdr>
          <w:left w:val="single" w:color="8B6F47" w:sz="12" w:space="12"/>
        </w:pBdr>
        <w:spacing w:after="160" w:before="120"/>
        <w:ind w:left="360" w:right="360"/>
        <w:jc w:val="both"/>
      </w:pPr>
      <w:r>
        <w:rPr>
          <w:i/>
          <w:iCs/>
          <w:color w:val="555555"/>
          <w:sz w:val="22"/>
          <w:szCs w:val="22"/>
        </w:rPr>
        <w:t xml:space="preserve">Menicom no es una lente más barata, ni más cara, ni mejor o peor que Cooper. Es una lente con un canal de distribución diferente. Y ese canal protege al óptico independiente de la fuga online de forma estructural. Esto es lo que el programa pone delante del óptico, traducido a euros.</w:t>
      </w:r>
    </w:p>
    <w:p>
      <w:pPr>
        <w:pStyle w:val="Heading2"/>
        <w:spacing w:after="150" w:before="300"/>
      </w:pPr>
      <w:r>
        <w:rPr>
          <w:b/>
          <w:bCs/>
          <w:color w:val="1A1A1A"/>
          <w:sz w:val="28"/>
          <w:szCs w:val="28"/>
        </w:rPr>
        <w:t xml:space="preserve">Por qué este insight es el centro del programa</w:t>
      </w:r>
    </w:p>
    <w:p>
      <w:pPr>
        <w:spacing w:after="140"/>
        <w:jc w:val="both"/>
      </w:pPr>
      <w:r>
        <w:rPr>
          <w:color w:val="1A1A1A"/>
          <w:sz w:val="22"/>
          <w:szCs w:val="22"/>
        </w:rPr>
        <w:t xml:space="preserve">Todos los programas comerciales de fabricantes de lentes que ha visto un óptico independiente español giran alrededor de “más margen por caja”, “rappel por volumen” o “premium por exclusividad”. Son argumentos racionales, comparables y por tanto fácilmente neutralizables por la competencia.</w:t>
      </w:r>
    </w:p>
    <w:p>
      <w:pPr>
        <w:spacing w:after="140"/>
        <w:jc w:val="both"/>
      </w:pPr>
      <w:r>
        <w:rPr>
          <w:color w:val="1A1A1A"/>
          <w:sz w:val="22"/>
          <w:szCs w:val="22"/>
        </w:rPr>
        <w:t xml:space="preserve">El argumento de canal es distinto. No depende del precio que ponga Menicom. No depende del descuento puntual. No depende de la voluntad del óptico de defender el ticket. Depende de la estructura del mercado. Y mientras Menicom mantenga su política de distribución profesional, este argumento es defensible y replicable óptica a óptica, sin desgastarse.</w:t>
      </w:r>
    </w:p>
    <w:p>
      <w:r>
        <w:br w:type="page"/>
      </w:r>
    </w:p>
    <w:p>
      <w:pPr>
        <w:pStyle w:val="Heading1"/>
        <w:spacing w:after="200" w:before="400"/>
      </w:pPr>
      <w:r>
        <w:rPr>
          <w:b/>
          <w:bCs/>
          <w:color w:val="1A1A1A"/>
          <w:sz w:val="36"/>
          <w:szCs w:val="36"/>
        </w:rPr>
        <w:t xml:space="preserve">3 · Flujo del avatar · 5 momentos</w:t>
      </w:r>
    </w:p>
    <w:p>
      <w:pPr>
        <w:spacing w:after="140"/>
        <w:jc w:val="both"/>
      </w:pPr>
      <w:r>
        <w:rPr>
          <w:color w:val="1A1A1A"/>
          <w:sz w:val="22"/>
          <w:szCs w:val="22"/>
        </w:rPr>
        <w:t xml:space="preserve">El avatar no es un producto único, es un sistema con cinco momentos de contacto que cubren todo el ciclo del paciente, desde antes de pisar la óptica hasta la reposición recurrente. Cada momento tiene un objetivo claro y resuelve una fricción concreta del óptico.</w:t>
      </w:r>
    </w:p>
    <w:p>
      <w:pPr>
        <w:pStyle w:val="Heading2"/>
        <w:spacing w:after="150" w:before="300"/>
      </w:pPr>
      <w:r>
        <w:rPr>
          <w:b/>
          <w:bCs/>
          <w:color w:val="1A1A1A"/>
          <w:sz w:val="28"/>
          <w:szCs w:val="28"/>
        </w:rPr>
        <w:t xml:space="preserve">Momento 0 · Pre-gabinete</w:t>
      </w:r>
    </w:p>
    <w:p>
      <w:pPr>
        <w:pStyle w:val="Heading3"/>
        <w:spacing w:after="100" w:before="220"/>
      </w:pPr>
      <w:r>
        <w:rPr>
          <w:b/>
          <w:bCs/>
          <w:color w:val="8B6F47"/>
          <w:sz w:val="24"/>
          <w:szCs w:val="24"/>
        </w:rPr>
        <w:t xml:space="preserve">Disparador y mecánica</w:t>
      </w:r>
    </w:p>
    <w:p>
      <w:pPr>
        <w:spacing w:after="140"/>
        <w:jc w:val="both"/>
      </w:pPr>
      <w:r>
        <w:rPr>
          <w:color w:val="1A1A1A"/>
          <w:sz w:val="22"/>
          <w:szCs w:val="22"/>
        </w:rPr>
        <w:t xml:space="preserve">Lo dispara el óptico desde su software de gestión o desde el ERP del grupo de compras. Cuando el óptico identifica un paciente candidato a readaptación (lleva blanda Cooper o competencia más de doce meses, ha venido a revisión, ha mencionado sequedad o cansancio en la última visita), marca la ficha como candidato Menicom. El sistema dispara un mensaje WhatsApp o email firmado por la óptica, no por Menicom.</w:t>
      </w:r>
    </w:p>
    <w:p>
      <w:pPr>
        <w:pBdr>
          <w:left w:val="single" w:color="8B6F47" w:sz="12" w:space="12"/>
        </w:pBdr>
        <w:spacing w:after="160" w:before="120"/>
        <w:ind w:left="360" w:right="360"/>
        <w:jc w:val="both"/>
      </w:pPr>
      <w:r>
        <w:rPr>
          <w:i/>
          <w:iCs/>
          <w:color w:val="555555"/>
          <w:sz w:val="22"/>
          <w:szCs w:val="22"/>
        </w:rPr>
        <w:t xml:space="preserve">Hola María, soy Carmen de Óptica X. He visto en tu última revisión que tu lente actual lleva tiempo. Te envío un vídeo de 90 segundos que explica una opción nueva que estamos recomendando. Si te interesa, en tu próxima visita lo probamos.</w:t>
      </w:r>
    </w:p>
    <w:p>
      <w:pPr>
        <w:pStyle w:val="Heading3"/>
        <w:spacing w:after="100" w:before="220"/>
      </w:pPr>
      <w:r>
        <w:rPr>
          <w:b/>
          <w:bCs/>
          <w:color w:val="8B6F47"/>
          <w:sz w:val="24"/>
          <w:szCs w:val="24"/>
        </w:rPr>
        <w:t xml:space="preserve">Tipo de avatar</w:t>
      </w:r>
    </w:p>
    <w:p>
      <w:pPr>
        <w:spacing w:after="140"/>
        <w:jc w:val="both"/>
      </w:pPr>
      <w:r>
        <w:rPr>
          <w:color w:val="1A1A1A"/>
          <w:sz w:val="22"/>
          <w:szCs w:val="22"/>
        </w:rPr>
        <w:t xml:space="preserve">Vídeo asíncrono, 90 segundos, generado con HeyGen. Imagen del avatar Menicom + logo de la óptica al cierre. Habla de bienestar ocular y readaptación, no de marca.</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Al llegar a la siguiente cita, el paciente ya está pre-vendido. El óptico se ahorra cinco minutos de explicación inicial y entra directamente en exploración.</w:t>
      </w:r>
    </w:p>
    <w:p>
      <w:pPr>
        <w:pStyle w:val="Heading2"/>
        <w:spacing w:after="150" w:before="300"/>
      </w:pPr>
      <w:r>
        <w:rPr>
          <w:b/>
          <w:bCs/>
          <w:color w:val="1A1A1A"/>
          <w:sz w:val="28"/>
          <w:szCs w:val="28"/>
        </w:rPr>
        <w:t xml:space="preserve">Momento 1 · Gabinete · Conversacional en tiempo real</w:t>
      </w:r>
    </w:p>
    <w:p>
      <w:pPr>
        <w:pStyle w:val="Heading3"/>
        <w:spacing w:after="100" w:before="220"/>
      </w:pPr>
      <w:r>
        <w:rPr>
          <w:b/>
          <w:bCs/>
          <w:color w:val="8B6F47"/>
          <w:sz w:val="24"/>
          <w:szCs w:val="24"/>
        </w:rPr>
        <w:t xml:space="preserve">Disparador y mecánica</w:t>
      </w:r>
    </w:p>
    <w:p>
      <w:pPr>
        <w:spacing w:after="140"/>
        <w:jc w:val="both"/>
      </w:pPr>
      <w:r>
        <w:rPr>
          <w:color w:val="1A1A1A"/>
          <w:sz w:val="22"/>
          <w:szCs w:val="22"/>
        </w:rPr>
        <w:t xml:space="preserve">Lo dispara el óptico en consulta, después de hacer la valoración clínica. Una tablet sobre la mesa con el avatar Menicom abierto. El óptico le dice al paciente: «Te dejo cuatro minutos con nuestro asesor digital, te explica todo lo que necesitas saber de tu nueva lente. Yo vuelvo en seguida». Sale del gabinete y atiende otra cosa.</w:t>
      </w:r>
    </w:p>
    <w:p>
      <w:pPr>
        <w:spacing w:after="140"/>
        <w:jc w:val="both"/>
      </w:pPr>
      <w:r>
        <w:rPr>
          <w:color w:val="1A1A1A"/>
          <w:sz w:val="22"/>
          <w:szCs w:val="22"/>
        </w:rPr>
        <w:t xml:space="preserve">El avatar conversa con el paciente, contesta sus 5-6 dudas típicas (cuánto cuesta, es segura, la encuentro online, qué diferencia tiene con la que llevo, cómo se mantiene, qué pasa si se me cae). Al final, el avatar genera un mini-informe con las dudas que ha tenido el paciente, listo para que el óptico cierre centrado solo en lo que importa.</w:t>
      </w:r>
    </w:p>
    <w:p>
      <w:pPr>
        <w:pStyle w:val="Heading3"/>
        <w:spacing w:after="100" w:before="220"/>
      </w:pPr>
      <w:r>
        <w:rPr>
          <w:b/>
          <w:bCs/>
          <w:color w:val="8B6F47"/>
          <w:sz w:val="24"/>
          <w:szCs w:val="24"/>
        </w:rPr>
        <w:t xml:space="preserve">Tipo de avatar</w:t>
      </w:r>
    </w:p>
    <w:p>
      <w:pPr>
        <w:spacing w:after="140"/>
        <w:jc w:val="both"/>
      </w:pPr>
      <w:r>
        <w:rPr>
          <w:color w:val="1A1A1A"/>
          <w:sz w:val="22"/>
          <w:szCs w:val="22"/>
        </w:rPr>
        <w:t xml:space="preserve">Conversacional en tiempo real, D-ID Agents o HeyGen Interactive. Aquí está el corazón del programa, la pieza más cara y la que más impacto tiene en el chair-time del óptico.</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Devuelve entre ocho y diez minutos de chair-time al óptico por paciente. Multiplicado por sesenta readaptaciones de sprint, son entre ocho y diez horas recuperadas en seis semanas. Ese es el ROI tangible que el óptico siente.</w:t>
      </w:r>
    </w:p>
    <w:p>
      <w:pPr>
        <w:pStyle w:val="Heading2"/>
        <w:spacing w:after="150" w:before="300"/>
      </w:pPr>
      <w:r>
        <w:rPr>
          <w:b/>
          <w:bCs/>
          <w:color w:val="1A1A1A"/>
          <w:sz w:val="28"/>
          <w:szCs w:val="28"/>
        </w:rPr>
        <w:t xml:space="preserve">Momento 2 · Cierre y entrega del primer blister</w:t>
      </w:r>
    </w:p>
    <w:p>
      <w:pPr>
        <w:pStyle w:val="Heading3"/>
        <w:spacing w:after="100" w:before="220"/>
      </w:pPr>
      <w:r>
        <w:rPr>
          <w:b/>
          <w:bCs/>
          <w:color w:val="8B6F47"/>
          <w:sz w:val="24"/>
          <w:szCs w:val="24"/>
        </w:rPr>
        <w:t xml:space="preserve">Mecánica</w:t>
      </w:r>
    </w:p>
    <w:p>
      <w:pPr>
        <w:spacing w:after="140"/>
        <w:jc w:val="both"/>
      </w:pPr>
      <w:r>
        <w:rPr>
          <w:color w:val="1A1A1A"/>
          <w:sz w:val="22"/>
          <w:szCs w:val="22"/>
        </w:rPr>
        <w:t xml:space="preserve">El óptico vuelve al gabinete, lee el mini-informe del avatar, y cierra centrado solo en las dudas que el paciente ha tenido. Firma la pauta, entrega el primer blister de prueba, y configura en su sistema el seguimiento automatizado del momento 3.</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Cierres más rápidos, menos titubeos, mejor conversión. El paciente percibe que el óptico ya sabe qué le preocupa antes de hablar.</w:t>
      </w:r>
    </w:p>
    <w:p>
      <w:pPr>
        <w:pStyle w:val="Heading2"/>
        <w:spacing w:after="150" w:before="300"/>
      </w:pPr>
      <w:r>
        <w:rPr>
          <w:b/>
          <w:bCs/>
          <w:color w:val="1A1A1A"/>
          <w:sz w:val="28"/>
          <w:szCs w:val="28"/>
        </w:rPr>
        <w:t xml:space="preserve">Momento 3 · Seguimiento 24-72 horas</w:t>
      </w:r>
    </w:p>
    <w:p>
      <w:pPr>
        <w:pStyle w:val="Heading3"/>
        <w:spacing w:after="100" w:before="220"/>
      </w:pPr>
      <w:r>
        <w:rPr>
          <w:b/>
          <w:bCs/>
          <w:color w:val="8B6F47"/>
          <w:sz w:val="24"/>
          <w:szCs w:val="24"/>
        </w:rPr>
        <w:t xml:space="preserve">Disparador y mecánica</w:t>
      </w:r>
    </w:p>
    <w:p>
      <w:pPr>
        <w:spacing w:after="140"/>
        <w:jc w:val="both"/>
      </w:pPr>
      <w:r>
        <w:rPr>
          <w:color w:val="1A1A1A"/>
          <w:sz w:val="22"/>
          <w:szCs w:val="22"/>
        </w:rPr>
        <w:t xml:space="preserve">Lo dispara el sistema, automático, a las 24 y a las 72 horas de la entrega del blister. WhatsApp del avatar al paciente:</w:t>
      </w:r>
    </w:p>
    <w:p>
      <w:pPr>
        <w:pBdr>
          <w:left w:val="single" w:color="8B6F47" w:sz="12" w:space="12"/>
        </w:pBdr>
        <w:spacing w:after="160" w:before="120"/>
        <w:ind w:left="360" w:right="360"/>
        <w:jc w:val="both"/>
      </w:pPr>
      <w:r>
        <w:rPr>
          <w:i/>
          <w:iCs/>
          <w:color w:val="555555"/>
          <w:sz w:val="22"/>
          <w:szCs w:val="22"/>
        </w:rPr>
        <w:t xml:space="preserve">Hola María, soy Carmen de Óptica X. Cuéntame, ¿cómo van las lentes nuevas? Tres preguntas rápidas: ¿confort? ¿visión? ¿sequedad?</w:t>
      </w:r>
    </w:p>
    <w:p>
      <w:pPr>
        <w:spacing w:after="140"/>
        <w:jc w:val="both"/>
      </w:pPr>
      <w:r>
        <w:rPr>
          <w:color w:val="1A1A1A"/>
          <w:sz w:val="22"/>
          <w:szCs w:val="22"/>
        </w:rPr>
        <w:t xml:space="preserve">Si las respuestas son normales, el sistema cierra y manda al óptico un OK silencioso. Si hay alarma (escozor, visión borrosa, sequedad alta), escala al óptico inmediatamente con WhatsApp prioridad.</w:t>
      </w:r>
    </w:p>
    <w:p>
      <w:pPr>
        <w:pStyle w:val="Heading3"/>
        <w:spacing w:after="100" w:before="220"/>
      </w:pPr>
      <w:r>
        <w:rPr>
          <w:b/>
          <w:bCs/>
          <w:color w:val="8B6F47"/>
          <w:sz w:val="24"/>
          <w:szCs w:val="24"/>
        </w:rPr>
        <w:t xml:space="preserve">Tipo de avatar</w:t>
      </w:r>
    </w:p>
    <w:p>
      <w:pPr>
        <w:spacing w:after="140"/>
        <w:jc w:val="both"/>
      </w:pPr>
      <w:r>
        <w:rPr>
          <w:color w:val="1A1A1A"/>
          <w:sz w:val="22"/>
          <w:szCs w:val="22"/>
        </w:rPr>
        <w:t xml:space="preserve">Vídeo personalizado HeyGen + lógica conversacional simple en WhatsApp Business API.</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Esto es lo que de verdad sube la conversión final de readaptación. Hoy, el paciente con duda no llama, y si va mal no vuelve. Con seguimiento automatizado, el óptico recupera al paciente que estaba a punto de fallar la adaptación. La diferencia entre un sprint con conversión del 50% y uno con conversión del 75% está aquí.</w:t>
      </w:r>
    </w:p>
    <w:p>
      <w:pPr>
        <w:pStyle w:val="Heading2"/>
        <w:spacing w:after="150" w:before="300"/>
      </w:pPr>
      <w:r>
        <w:rPr>
          <w:b/>
          <w:bCs/>
          <w:color w:val="1A1A1A"/>
          <w:sz w:val="28"/>
          <w:szCs w:val="28"/>
        </w:rPr>
        <w:t xml:space="preserve">Momento 4 · Reposición recurrente</w:t>
      </w:r>
    </w:p>
    <w:p>
      <w:pPr>
        <w:pStyle w:val="Heading3"/>
        <w:spacing w:after="100" w:before="220"/>
      </w:pPr>
      <w:r>
        <w:rPr>
          <w:b/>
          <w:bCs/>
          <w:color w:val="8B6F47"/>
          <w:sz w:val="24"/>
          <w:szCs w:val="24"/>
        </w:rPr>
        <w:t xml:space="preserve">Disparador y mecánica</w:t>
      </w:r>
    </w:p>
    <w:p>
      <w:pPr>
        <w:spacing w:after="140"/>
        <w:jc w:val="both"/>
      </w:pPr>
      <w:r>
        <w:rPr>
          <w:color w:val="1A1A1A"/>
          <w:sz w:val="22"/>
          <w:szCs w:val="22"/>
        </w:rPr>
        <w:t xml:space="preserve">Lo dispara el sistema, 15 días antes del fin del blister calculado. Mensaje del avatar:</w:t>
      </w:r>
    </w:p>
    <w:p>
      <w:pPr>
        <w:pBdr>
          <w:left w:val="single" w:color="8B6F47" w:sz="12" w:space="12"/>
        </w:pBdr>
        <w:spacing w:after="160" w:before="120"/>
        <w:ind w:left="360" w:right="360"/>
        <w:jc w:val="both"/>
      </w:pPr>
      <w:r>
        <w:rPr>
          <w:i/>
          <w:iCs/>
          <w:color w:val="555555"/>
          <w:sz w:val="22"/>
          <w:szCs w:val="22"/>
        </w:rPr>
        <w:t xml:space="preserve">María, en dos semanas te terminas las lentes. Te las preparo y te aviso cuando puedas pasarte. Si prefieres recibirlas en casa, dime.</w:t>
      </w:r>
    </w:p>
    <w:p>
      <w:pPr>
        <w:spacing w:after="140"/>
        <w:jc w:val="both"/>
      </w:pPr>
      <w:r>
        <w:rPr>
          <w:color w:val="1A1A1A"/>
          <w:sz w:val="22"/>
          <w:szCs w:val="22"/>
        </w:rPr>
        <w:t xml:space="preserve">Recompra desde la óptica, no desde online. La paciente no se siente tentada a buscar online porque (a) no encuentra Miru fácilmente en plataformas y (b) la óptica le ha hecho la compra fácil.</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Este es el blindaje recurrente. La estructura de canal Menicom convierte cada readaptación en ingreso recurrente para el óptico durante toda la vida del paciente. Es el argumento económico definitivo del programa.</w:t>
      </w:r>
    </w:p>
    <w:p>
      <w:pPr>
        <w:pStyle w:val="Heading2"/>
        <w:spacing w:after="150" w:before="300"/>
      </w:pPr>
      <w:r>
        <w:rPr>
          <w:b/>
          <w:bCs/>
          <w:color w:val="1A1A1A"/>
          <w:sz w:val="28"/>
          <w:szCs w:val="28"/>
        </w:rPr>
        <w:t xml:space="preserve">Momento 5 · Reporting al óptico</w:t>
      </w:r>
    </w:p>
    <w:p>
      <w:pPr>
        <w:pStyle w:val="Heading3"/>
        <w:spacing w:after="100" w:before="220"/>
      </w:pPr>
      <w:r>
        <w:rPr>
          <w:b/>
          <w:bCs/>
          <w:color w:val="8B6F47"/>
          <w:sz w:val="24"/>
          <w:szCs w:val="24"/>
        </w:rPr>
        <w:t xml:space="preserve">Mecánica</w:t>
      </w:r>
    </w:p>
    <w:p>
      <w:pPr>
        <w:spacing w:after="140"/>
        <w:jc w:val="both"/>
      </w:pPr>
      <w:r>
        <w:rPr>
          <w:color w:val="1A1A1A"/>
          <w:sz w:val="22"/>
          <w:szCs w:val="22"/>
        </w:rPr>
        <w:t xml:space="preserve">El sistema manda al óptico, una vez al mes, un dashboard simple: cuántas readaptaciones este mes, cuántas con seguimiento OK, cuántas con alarma resuelta, cuántas reposiciones automatizadas, cuánto margen retenido versus proyección. Comparativa contra su línea base previa al programa.</w:t>
      </w:r>
    </w:p>
    <w:p>
      <w:pPr>
        <w:pStyle w:val="Heading3"/>
        <w:spacing w:after="100" w:before="220"/>
      </w:pPr>
      <w:r>
        <w:rPr>
          <w:b/>
          <w:bCs/>
          <w:color w:val="8B6F47"/>
          <w:sz w:val="24"/>
          <w:szCs w:val="24"/>
        </w:rPr>
        <w:t xml:space="preserve">Función real</w:t>
      </w:r>
    </w:p>
    <w:p>
      <w:pPr>
        <w:spacing w:after="140"/>
        <w:jc w:val="both"/>
      </w:pPr>
      <w:r>
        <w:rPr>
          <w:color w:val="1A1A1A"/>
          <w:sz w:val="22"/>
          <w:szCs w:val="22"/>
        </w:rPr>
        <w:t xml:space="preserve">Esto es lo que en el mes 4 hace que el óptico pase de «estoy probando Menicom» a «Menicom es mi proveedor principal de blanda». Ver el dato cierra la decisión.</w:t>
      </w:r>
    </w:p>
    <w:p>
      <w:r>
        <w:br w:type="page"/>
      </w:r>
    </w:p>
    <w:p>
      <w:pPr>
        <w:pStyle w:val="Heading1"/>
        <w:spacing w:after="200" w:before="400"/>
      </w:pPr>
      <w:r>
        <w:rPr>
          <w:b/>
          <w:bCs/>
          <w:color w:val="1A1A1A"/>
          <w:sz w:val="36"/>
          <w:szCs w:val="36"/>
        </w:rPr>
        <w:t xml:space="preserve">4 · Stack técnico y costes</w:t>
      </w:r>
    </w:p>
    <w:p>
      <w:pPr>
        <w:pStyle w:val="Heading2"/>
        <w:spacing w:after="150" w:before="300"/>
      </w:pPr>
      <w:r>
        <w:rPr>
          <w:b/>
          <w:bCs/>
          <w:color w:val="1A1A1A"/>
          <w:sz w:val="28"/>
          <w:szCs w:val="28"/>
        </w:rPr>
        <w:t xml:space="preserve">Herramientas por momento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400"/>
        <w:gridCol w:w="2026"/>
      </w:tblGrid>
      <w:tr>
        <w:trPr>
          <w:tblHeader/>
        </w:trPr>
        <w:tc>
          <w:tcPr>
            <w:tcW w:type="dxa" w:w="2200"/>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Momento</w:t>
            </w:r>
          </w:p>
        </w:tc>
        <w:tc>
          <w:tcPr>
            <w:tcW w:type="dxa" w:w="2400"/>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Tipo</w:t>
            </w:r>
          </w:p>
        </w:tc>
        <w:tc>
          <w:tcPr>
            <w:tcW w:type="dxa" w:w="2400"/>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Herramienta</w:t>
            </w:r>
          </w:p>
        </w:tc>
        <w:tc>
          <w:tcPr>
            <w:tcW w:type="dxa" w:w="2026"/>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Coste óptica/mes</w:t>
            </w:r>
          </w:p>
        </w:tc>
      </w:tr>
      <w:tr>
        <w:tc>
          <w:tcPr>
            <w:tcW w:type="dxa" w:w="2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M0 Pre-gabinete</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Vídeo asíncrono</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HeyGen</w:t>
            </w:r>
          </w:p>
        </w:tc>
        <w:tc>
          <w:tcPr>
            <w:tcW w:type="dxa" w:w="20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30-50 €</w:t>
            </w:r>
          </w:p>
        </w:tc>
      </w:tr>
      <w:tr>
        <w:tc>
          <w:tcPr>
            <w:tcW w:type="dxa" w:w="2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M1 Gabinete</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Conversacional tiempo real</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D-ID Agents</w:t>
            </w:r>
          </w:p>
        </w:tc>
        <w:tc>
          <w:tcPr>
            <w:tcW w:type="dxa" w:w="20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49-99 €</w:t>
            </w:r>
          </w:p>
        </w:tc>
      </w:tr>
      <w:tr>
        <w:tc>
          <w:tcPr>
            <w:tcW w:type="dxa" w:w="2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M3 Seguimiento</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WhatsApp + vídeo</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HeyGen + WApp Biz API</w:t>
            </w:r>
          </w:p>
        </w:tc>
        <w:tc>
          <w:tcPr>
            <w:tcW w:type="dxa" w:w="20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Incluido M0</w:t>
            </w:r>
          </w:p>
        </w:tc>
      </w:tr>
      <w:tr>
        <w:tc>
          <w:tcPr>
            <w:tcW w:type="dxa" w:w="2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M4 Reposición</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WhatsApp + link</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WApp Biz + ecommerce</w:t>
            </w:r>
          </w:p>
        </w:tc>
        <w:tc>
          <w:tcPr>
            <w:tcW w:type="dxa" w:w="20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Incluido M0</w:t>
            </w:r>
          </w:p>
        </w:tc>
      </w:tr>
      <w:tr>
        <w:tc>
          <w:tcPr>
            <w:tcW w:type="dxa" w:w="2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M5 Dashboard</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Web app</w:t>
            </w:r>
          </w:p>
        </w:tc>
        <w:tc>
          <w:tcPr>
            <w:tcW w:type="dxa" w:w="24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Notion / custom</w:t>
            </w:r>
          </w:p>
        </w:tc>
        <w:tc>
          <w:tcPr>
            <w:tcW w:type="dxa" w:w="20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Incluido M0</w:t>
            </w:r>
          </w:p>
        </w:tc>
      </w:tr>
    </w:tbl>
    <w:p>
      <w:pPr>
        <w:spacing w:after="120"/>
      </w:pPr>
      <w:r>
        <w:rPr>
          <w:color w:val="1A1A1A"/>
          <w:sz w:val="22"/>
          <w:szCs w:val="22"/>
        </w:rPr>
        <w:t xml:space="preserve"/>
      </w:r>
    </w:p>
    <w:p>
      <w:pPr>
        <w:spacing w:after="140"/>
        <w:jc w:val="both"/>
      </w:pPr>
      <w:r>
        <w:rPr>
          <w:color w:val="1A1A1A"/>
          <w:sz w:val="22"/>
          <w:szCs w:val="22"/>
        </w:rPr>
        <w:t xml:space="preserve">Coste total del programa por óptica: entre 80 y 150 €/mes. Perfectamente repercutible al óptico (rappel sobre volumen) o subvencionado por Menicom durante el sprint piloto como inversión en captación.</w:t>
      </w:r>
    </w:p>
    <w:p>
      <w:pPr>
        <w:pStyle w:val="Heading2"/>
        <w:spacing w:after="150" w:before="300"/>
      </w:pPr>
      <w:r>
        <w:rPr>
          <w:b/>
          <w:bCs/>
          <w:color w:val="1A1A1A"/>
          <w:sz w:val="28"/>
          <w:szCs w:val="28"/>
        </w:rPr>
        <w:t xml:space="preserve">Por qué HeyGen + D-ID y no solo uno de los dos</w:t>
      </w:r>
    </w:p>
    <w:p>
      <w:pPr>
        <w:spacing w:after="140"/>
        <w:jc w:val="both"/>
      </w:pPr>
      <w:r>
        <w:rPr>
          <w:color w:val="1A1A1A"/>
          <w:sz w:val="22"/>
          <w:szCs w:val="22"/>
        </w:rPr>
        <w:t xml:space="preserve">HeyGen es excelente para vídeo asíncrono personalizado (M0 y M3): voz clonada creíble, producción rápida, coste bajo, ideal para mensajes a paciente final. Pierde fuelle en conversacional síncrono porque la latencia y el coste por minuto son altos.</w:t>
      </w:r>
    </w:p>
    <w:p>
      <w:pPr>
        <w:spacing w:after="140"/>
        <w:jc w:val="both"/>
      </w:pPr>
      <w:r>
        <w:rPr>
          <w:color w:val="1A1A1A"/>
          <w:sz w:val="22"/>
          <w:szCs w:val="22"/>
        </w:rPr>
        <w:t xml:space="preserve">D-ID Agents es la mejor opción precio-calidad-latencia para el avatar conversacional en tablet (M1). Avatar 2D realista, latencia menor de 1,5s, coste de uso predecible por minuto. Permite entrenar al avatar con guion clínico Menicom (parte 6 del documento).</w:t>
      </w:r>
    </w:p>
    <w:p>
      <w:pPr>
        <w:spacing w:after="140"/>
        <w:jc w:val="both"/>
      </w:pPr>
      <w:r>
        <w:rPr>
          <w:color w:val="1A1A1A"/>
          <w:sz w:val="22"/>
          <w:szCs w:val="22"/>
        </w:rPr>
        <w:t xml:space="preserve">La combinación de los dos cubre el ciclo completo a un coste por óptica entre 80 y 150 €/mes, y permite arrancar con HeyGen en la fase 1 (M0 y M3) mientras se valida el conversacional D-ID en 3-4 ópticas piloto antes de escalar a las 50.</w:t>
      </w:r>
    </w:p>
    <w:p>
      <w:r>
        <w:br w:type="page"/>
      </w:r>
    </w:p>
    <w:p>
      <w:pPr>
        <w:pStyle w:val="Heading1"/>
        <w:spacing w:after="200" w:before="400"/>
      </w:pPr>
      <w:r>
        <w:rPr>
          <w:b/>
          <w:bCs/>
          <w:color w:val="1A1A1A"/>
          <w:sz w:val="36"/>
          <w:szCs w:val="36"/>
        </w:rPr>
        <w:t xml:space="preserve">5 · Roadmap del piloto</w:t>
      </w:r>
    </w:p>
    <w:p>
      <w:pPr>
        <w:pStyle w:val="Heading2"/>
        <w:spacing w:after="150" w:before="300"/>
      </w:pPr>
      <w:r>
        <w:rPr>
          <w:b/>
          <w:bCs/>
          <w:color w:val="1A1A1A"/>
          <w:sz w:val="28"/>
          <w:szCs w:val="28"/>
        </w:rPr>
        <w:t xml:space="preserve">Fase 0 · Validación interna · 2 semanas</w:t>
      </w:r>
    </w:p>
    <w:p>
      <w:pPr>
        <w:pStyle w:val="ListParagraph"/>
        <w:numPr>
          <w:ilvl w:val="0"/>
          <w:numId w:val="2"/>
        </w:numPr>
        <w:spacing w:after="80"/>
      </w:pPr>
      <w:r>
        <w:rPr>
          <w:color w:val="1A1A1A"/>
          <w:sz w:val="22"/>
          <w:szCs w:val="22"/>
        </w:rPr>
        <w:t xml:space="preserve">Menicom valida el modelo de margen estimado del simulador con datos reales internos.</w:t>
      </w:r>
    </w:p>
    <w:p>
      <w:pPr>
        <w:pStyle w:val="ListParagraph"/>
        <w:numPr>
          <w:ilvl w:val="0"/>
          <w:numId w:val="2"/>
        </w:numPr>
        <w:spacing w:after="80"/>
      </w:pPr>
      <w:r>
        <w:rPr>
          <w:color w:val="1A1A1A"/>
          <w:sz w:val="22"/>
          <w:szCs w:val="22"/>
        </w:rPr>
        <w:t xml:space="preserve">Selección final de las 50 ópticas piloto a partir del mapa razonado en parte 7.</w:t>
      </w:r>
    </w:p>
    <w:p>
      <w:pPr>
        <w:pStyle w:val="ListParagraph"/>
        <w:numPr>
          <w:ilvl w:val="0"/>
          <w:numId w:val="2"/>
        </w:numPr>
        <w:spacing w:after="80"/>
      </w:pPr>
      <w:r>
        <w:rPr>
          <w:color w:val="1A1A1A"/>
          <w:sz w:val="22"/>
          <w:szCs w:val="22"/>
        </w:rPr>
        <w:t xml:space="preserve">Producción de avatar HeyGen base (vídeo M0) y entrenamiento de avatar D-ID (M1) con argumentario.</w:t>
      </w:r>
    </w:p>
    <w:p>
      <w:pPr>
        <w:pStyle w:val="ListParagraph"/>
        <w:numPr>
          <w:ilvl w:val="0"/>
          <w:numId w:val="2"/>
        </w:numPr>
        <w:spacing w:after="80"/>
      </w:pPr>
      <w:r>
        <w:rPr>
          <w:color w:val="1A1A1A"/>
          <w:sz w:val="22"/>
          <w:szCs w:val="22"/>
        </w:rPr>
        <w:t xml:space="preserve">Configuración de WhatsApp Business API y plantillas mensaje aprobadas por Meta.</w:t>
      </w:r>
    </w:p>
    <w:p>
      <w:pPr>
        <w:pStyle w:val="Heading2"/>
        <w:spacing w:after="150" w:before="300"/>
      </w:pPr>
      <w:r>
        <w:rPr>
          <w:b/>
          <w:bCs/>
          <w:color w:val="1A1A1A"/>
          <w:sz w:val="28"/>
          <w:szCs w:val="28"/>
        </w:rPr>
        <w:t xml:space="preserve">Fase 1 · Soft launch · 4 ópticas · 4 semanas</w:t>
      </w:r>
    </w:p>
    <w:p>
      <w:pPr>
        <w:pStyle w:val="ListParagraph"/>
        <w:numPr>
          <w:ilvl w:val="0"/>
          <w:numId w:val="2"/>
        </w:numPr>
        <w:spacing w:after="80"/>
      </w:pPr>
      <w:r>
        <w:rPr>
          <w:color w:val="1A1A1A"/>
          <w:sz w:val="22"/>
          <w:szCs w:val="22"/>
        </w:rPr>
        <w:t xml:space="preserve">Despliegue en 4 ópticas seleccionadas (1 por zona + 1 control).</w:t>
      </w:r>
    </w:p>
    <w:p>
      <w:pPr>
        <w:pStyle w:val="ListParagraph"/>
        <w:numPr>
          <w:ilvl w:val="0"/>
          <w:numId w:val="2"/>
        </w:numPr>
        <w:spacing w:after="80"/>
      </w:pPr>
      <w:r>
        <w:rPr>
          <w:color w:val="1A1A1A"/>
          <w:sz w:val="22"/>
          <w:szCs w:val="22"/>
        </w:rPr>
        <w:t xml:space="preserve">Medición de chair-time recuperado, conversión de readaptación, tasa de reposición.</w:t>
      </w:r>
    </w:p>
    <w:p>
      <w:pPr>
        <w:pStyle w:val="ListParagraph"/>
        <w:numPr>
          <w:ilvl w:val="0"/>
          <w:numId w:val="2"/>
        </w:numPr>
        <w:spacing w:after="80"/>
      </w:pPr>
      <w:r>
        <w:rPr>
          <w:color w:val="1A1A1A"/>
          <w:sz w:val="22"/>
          <w:szCs w:val="22"/>
        </w:rPr>
        <w:t xml:space="preserve">Iteración sobre guion del avatar M1 según mini-informes reales.</w:t>
      </w:r>
    </w:p>
    <w:p>
      <w:pPr>
        <w:pStyle w:val="ListParagraph"/>
        <w:numPr>
          <w:ilvl w:val="0"/>
          <w:numId w:val="2"/>
        </w:numPr>
        <w:spacing w:after="80"/>
      </w:pPr>
      <w:r>
        <w:rPr>
          <w:color w:val="1A1A1A"/>
          <w:sz w:val="22"/>
          <w:szCs w:val="22"/>
        </w:rPr>
        <w:t xml:space="preserve">Ajuste de parámetros del simulador con datos del soft launch.</w:t>
      </w:r>
    </w:p>
    <w:p>
      <w:pPr>
        <w:pStyle w:val="Heading2"/>
        <w:spacing w:after="150" w:before="300"/>
      </w:pPr>
      <w:r>
        <w:rPr>
          <w:b/>
          <w:bCs/>
          <w:color w:val="1A1A1A"/>
          <w:sz w:val="28"/>
          <w:szCs w:val="28"/>
        </w:rPr>
        <w:t xml:space="preserve">Fase 2 · Sprint 50 ópticas · 6 semanas</w:t>
      </w:r>
    </w:p>
    <w:p>
      <w:pPr>
        <w:pStyle w:val="ListParagraph"/>
        <w:numPr>
          <w:ilvl w:val="0"/>
          <w:numId w:val="2"/>
        </w:numPr>
        <w:spacing w:after="80"/>
      </w:pPr>
      <w:r>
        <w:rPr>
          <w:color w:val="1A1A1A"/>
          <w:sz w:val="22"/>
          <w:szCs w:val="22"/>
        </w:rPr>
        <w:t xml:space="preserve">Despliegue completo en 50 ópticas (Castilla-La Mancha 20 + País Vasco 15 + Alicante 15).</w:t>
      </w:r>
    </w:p>
    <w:p>
      <w:pPr>
        <w:pStyle w:val="ListParagraph"/>
        <w:numPr>
          <w:ilvl w:val="0"/>
          <w:numId w:val="2"/>
        </w:numPr>
        <w:spacing w:after="80"/>
      </w:pPr>
      <w:r>
        <w:rPr>
          <w:color w:val="1A1A1A"/>
          <w:sz w:val="22"/>
          <w:szCs w:val="22"/>
        </w:rPr>
        <w:t xml:space="preserve">Comercial dedicado: 5 visitas/día durante 6 semanas, 66 contactos por óptica.</w:t>
      </w:r>
    </w:p>
    <w:p>
      <w:pPr>
        <w:pStyle w:val="ListParagraph"/>
        <w:numPr>
          <w:ilvl w:val="0"/>
          <w:numId w:val="2"/>
        </w:numPr>
        <w:spacing w:after="80"/>
      </w:pPr>
      <w:r>
        <w:rPr>
          <w:color w:val="1A1A1A"/>
          <w:sz w:val="22"/>
          <w:szCs w:val="22"/>
        </w:rPr>
        <w:t xml:space="preserve">Objetivo: 60-80 readaptaciones por óptica en el sprint, 3.000-4.000 readaptaciones totales.</w:t>
      </w:r>
    </w:p>
    <w:p>
      <w:pPr>
        <w:pStyle w:val="ListParagraph"/>
        <w:numPr>
          <w:ilvl w:val="0"/>
          <w:numId w:val="2"/>
        </w:numPr>
        <w:spacing w:after="80"/>
      </w:pPr>
      <w:r>
        <w:rPr>
          <w:color w:val="1A1A1A"/>
          <w:sz w:val="22"/>
          <w:szCs w:val="22"/>
        </w:rPr>
        <w:t xml:space="preserve">Reporting semanal a dirección Menicom con cuadro de mando.</w:t>
      </w:r>
    </w:p>
    <w:p>
      <w:pPr>
        <w:pStyle w:val="Heading2"/>
        <w:spacing w:after="150" w:before="300"/>
      </w:pPr>
      <w:r>
        <w:rPr>
          <w:b/>
          <w:bCs/>
          <w:color w:val="1A1A1A"/>
          <w:sz w:val="28"/>
          <w:szCs w:val="28"/>
        </w:rPr>
        <w:t xml:space="preserve">Fase 3 · Cierre del piloto y escalado · 4 semanas</w:t>
      </w:r>
    </w:p>
    <w:p>
      <w:pPr>
        <w:pStyle w:val="ListParagraph"/>
        <w:numPr>
          <w:ilvl w:val="0"/>
          <w:numId w:val="2"/>
        </w:numPr>
        <w:spacing w:after="80"/>
      </w:pPr>
      <w:r>
        <w:rPr>
          <w:color w:val="1A1A1A"/>
          <w:sz w:val="22"/>
          <w:szCs w:val="22"/>
        </w:rPr>
        <w:t xml:space="preserve">Análisis de resultados versus proyección del simulador.</w:t>
      </w:r>
    </w:p>
    <w:p>
      <w:pPr>
        <w:pStyle w:val="ListParagraph"/>
        <w:numPr>
          <w:ilvl w:val="0"/>
          <w:numId w:val="2"/>
        </w:numPr>
        <w:spacing w:after="80"/>
      </w:pPr>
      <w:r>
        <w:rPr>
          <w:color w:val="1A1A1A"/>
          <w:sz w:val="22"/>
          <w:szCs w:val="22"/>
        </w:rPr>
        <w:t xml:space="preserve">Caso de éxito documentado con 3-5 ópticas top.</w:t>
      </w:r>
    </w:p>
    <w:p>
      <w:pPr>
        <w:pStyle w:val="ListParagraph"/>
        <w:numPr>
          <w:ilvl w:val="0"/>
          <w:numId w:val="2"/>
        </w:numPr>
        <w:spacing w:after="80"/>
      </w:pPr>
      <w:r>
        <w:rPr>
          <w:color w:val="1A1A1A"/>
          <w:sz w:val="22"/>
          <w:szCs w:val="22"/>
        </w:rPr>
        <w:t xml:space="preserve">Plan de escalado a base completa Menicom (siguiente semestre).</w:t>
      </w:r>
    </w:p>
    <w:p>
      <w:pPr>
        <w:pStyle w:val="ListParagraph"/>
        <w:numPr>
          <w:ilvl w:val="0"/>
          <w:numId w:val="2"/>
        </w:numPr>
        <w:spacing w:after="80"/>
      </w:pPr>
      <w:r>
        <w:rPr>
          <w:color w:val="1A1A1A"/>
          <w:sz w:val="22"/>
          <w:szCs w:val="22"/>
        </w:rPr>
        <w:t xml:space="preserve">Renegociación de comisiones / rappel con grupos de compra (Cione, Federópticos, Natural Optics, CECOP).</w:t>
      </w:r>
    </w:p>
    <w:p>
      <w:r>
        <w:br w:type="page"/>
      </w:r>
    </w:p>
    <w:p>
      <w:pPr>
        <w:pStyle w:val="Heading1"/>
        <w:spacing w:after="200" w:before="400"/>
      </w:pPr>
      <w:r>
        <w:rPr>
          <w:b/>
          <w:bCs/>
          <w:color w:val="1A1A1A"/>
          <w:sz w:val="36"/>
          <w:szCs w:val="36"/>
        </w:rPr>
        <w:t xml:space="preserve">6 · KPIs y reporting</w:t>
      </w:r>
    </w:p>
    <w:p>
      <w:pPr>
        <w:pStyle w:val="Heading2"/>
        <w:spacing w:after="150" w:before="300"/>
      </w:pPr>
      <w:r>
        <w:rPr>
          <w:b/>
          <w:bCs/>
          <w:color w:val="1A1A1A"/>
          <w:sz w:val="28"/>
          <w:szCs w:val="28"/>
        </w:rPr>
        <w:t xml:space="preserve">KPIs por óptica (semanal)</w:t>
      </w:r>
    </w:p>
    <w:p>
      <w:pPr>
        <w:pStyle w:val="ListParagraph"/>
        <w:numPr>
          <w:ilvl w:val="0"/>
          <w:numId w:val="2"/>
        </w:numPr>
        <w:spacing w:after="80"/>
      </w:pPr>
      <w:r>
        <w:rPr>
          <w:color w:val="1A1A1A"/>
          <w:sz w:val="22"/>
          <w:szCs w:val="22"/>
        </w:rPr>
        <w:t xml:space="preserve">Pacientes contactados M0 (vídeo enviado).</w:t>
      </w:r>
    </w:p>
    <w:p>
      <w:pPr>
        <w:pStyle w:val="ListParagraph"/>
        <w:numPr>
          <w:ilvl w:val="0"/>
          <w:numId w:val="2"/>
        </w:numPr>
        <w:spacing w:after="80"/>
      </w:pPr>
      <w:r>
        <w:rPr>
          <w:color w:val="1A1A1A"/>
          <w:sz w:val="22"/>
          <w:szCs w:val="22"/>
        </w:rPr>
        <w:t xml:space="preserve">Tasa de respuesta a M0 (paciente que vuelve a cita).</w:t>
      </w:r>
    </w:p>
    <w:p>
      <w:pPr>
        <w:pStyle w:val="ListParagraph"/>
        <w:numPr>
          <w:ilvl w:val="0"/>
          <w:numId w:val="2"/>
        </w:numPr>
        <w:spacing w:after="80"/>
      </w:pPr>
      <w:r>
        <w:rPr>
          <w:color w:val="1A1A1A"/>
          <w:sz w:val="22"/>
          <w:szCs w:val="22"/>
        </w:rPr>
        <w:t xml:space="preserve">Readaptaciones cerradas (firma de pauta + entrega blister).</w:t>
      </w:r>
    </w:p>
    <w:p>
      <w:pPr>
        <w:pStyle w:val="ListParagraph"/>
        <w:numPr>
          <w:ilvl w:val="0"/>
          <w:numId w:val="2"/>
        </w:numPr>
        <w:spacing w:after="80"/>
      </w:pPr>
      <w:r>
        <w:rPr>
          <w:color w:val="1A1A1A"/>
          <w:sz w:val="22"/>
          <w:szCs w:val="22"/>
        </w:rPr>
        <w:t xml:space="preserve">Conversión M3 (% pacientes con seguimiento OK a 7 días).</w:t>
      </w:r>
    </w:p>
    <w:p>
      <w:pPr>
        <w:pStyle w:val="ListParagraph"/>
        <w:numPr>
          <w:ilvl w:val="0"/>
          <w:numId w:val="2"/>
        </w:numPr>
        <w:spacing w:after="80"/>
      </w:pPr>
      <w:r>
        <w:rPr>
          <w:color w:val="1A1A1A"/>
          <w:sz w:val="22"/>
          <w:szCs w:val="22"/>
        </w:rPr>
        <w:t xml:space="preserve">Reposiciones M4 activadas (% pacientes que repiten compra).</w:t>
      </w:r>
    </w:p>
    <w:p>
      <w:pPr>
        <w:pStyle w:val="ListParagraph"/>
        <w:numPr>
          <w:ilvl w:val="0"/>
          <w:numId w:val="2"/>
        </w:numPr>
        <w:spacing w:after="80"/>
      </w:pPr>
      <w:r>
        <w:rPr>
          <w:color w:val="1A1A1A"/>
          <w:sz w:val="22"/>
          <w:szCs w:val="22"/>
        </w:rPr>
        <w:t xml:space="preserve">Chair-time recuperado por paciente (minutos vs. baseline).</w:t>
      </w:r>
    </w:p>
    <w:p>
      <w:pPr>
        <w:pStyle w:val="Heading2"/>
        <w:spacing w:after="150" w:before="300"/>
      </w:pPr>
      <w:r>
        <w:rPr>
          <w:b/>
          <w:bCs/>
          <w:color w:val="1A1A1A"/>
          <w:sz w:val="28"/>
          <w:szCs w:val="28"/>
        </w:rPr>
        <w:t xml:space="preserve">KPIs de programa (mensual)</w:t>
      </w:r>
    </w:p>
    <w:p>
      <w:pPr>
        <w:pStyle w:val="ListParagraph"/>
        <w:numPr>
          <w:ilvl w:val="0"/>
          <w:numId w:val="2"/>
        </w:numPr>
        <w:spacing w:after="80"/>
      </w:pPr>
      <w:r>
        <w:rPr>
          <w:color w:val="1A1A1A"/>
          <w:sz w:val="22"/>
          <w:szCs w:val="22"/>
        </w:rPr>
        <w:t xml:space="preserve">Total readaptaciones del sprint vs. objetivo (60-80 por óptica).</w:t>
      </w:r>
    </w:p>
    <w:p>
      <w:pPr>
        <w:pStyle w:val="ListParagraph"/>
        <w:numPr>
          <w:ilvl w:val="0"/>
          <w:numId w:val="2"/>
        </w:numPr>
        <w:spacing w:after="80"/>
      </w:pPr>
      <w:r>
        <w:rPr>
          <w:color w:val="1A1A1A"/>
          <w:sz w:val="22"/>
          <w:szCs w:val="22"/>
        </w:rPr>
        <w:t xml:space="preserve">Margen retenido total vs. proyección simulador.</w:t>
      </w:r>
    </w:p>
    <w:p>
      <w:pPr>
        <w:pStyle w:val="ListParagraph"/>
        <w:numPr>
          <w:ilvl w:val="0"/>
          <w:numId w:val="2"/>
        </w:numPr>
        <w:spacing w:after="80"/>
      </w:pPr>
      <w:r>
        <w:rPr>
          <w:color w:val="1A1A1A"/>
          <w:sz w:val="22"/>
          <w:szCs w:val="22"/>
        </w:rPr>
        <w:t xml:space="preserve">Tasa de fuga online estimada antes vs. después.</w:t>
      </w:r>
    </w:p>
    <w:p>
      <w:pPr>
        <w:pStyle w:val="ListParagraph"/>
        <w:numPr>
          <w:ilvl w:val="0"/>
          <w:numId w:val="2"/>
        </w:numPr>
        <w:spacing w:after="80"/>
      </w:pPr>
      <w:r>
        <w:rPr>
          <w:color w:val="1A1A1A"/>
          <w:sz w:val="22"/>
          <w:szCs w:val="22"/>
        </w:rPr>
        <w:t xml:space="preserve">NPS del óptico hacia el programa Menicom.</w:t>
      </w:r>
    </w:p>
    <w:p>
      <w:pPr>
        <w:pStyle w:val="ListParagraph"/>
        <w:numPr>
          <w:ilvl w:val="0"/>
          <w:numId w:val="2"/>
        </w:numPr>
        <w:spacing w:after="80"/>
      </w:pPr>
      <w:r>
        <w:rPr>
          <w:color w:val="1A1A1A"/>
          <w:sz w:val="22"/>
          <w:szCs w:val="22"/>
        </w:rPr>
        <w:t xml:space="preserve">NPS del paciente final tras readaptación.</w:t>
      </w:r>
    </w:p>
    <w:p>
      <w:pPr>
        <w:pStyle w:val="Heading2"/>
        <w:spacing w:after="150" w:before="300"/>
      </w:pPr>
      <w:r>
        <w:rPr>
          <w:b/>
          <w:bCs/>
          <w:color w:val="1A1A1A"/>
          <w:sz w:val="28"/>
          <w:szCs w:val="28"/>
        </w:rPr>
        <w:t xml:space="preserve">Cómo se reporta a dirección Menicom</w:t>
      </w:r>
    </w:p>
    <w:p>
      <w:pPr>
        <w:spacing w:after="140"/>
        <w:jc w:val="both"/>
      </w:pPr>
      <w:r>
        <w:rPr>
          <w:color w:val="1A1A1A"/>
          <w:sz w:val="22"/>
          <w:szCs w:val="22"/>
        </w:rPr>
        <w:t xml:space="preserve">Cuadro de mando semanal en una sola página: número del sprint, % avance vs. objetivo, top 5 ópticas, alertas (ópticas por debajo de mediana). Mensual: análisis cualitativo, ajustes al guion del avatar, recomendaciones para el siguiente periodo.</w:t>
      </w:r>
    </w:p>
    <w:p>
      <w:r>
        <w:br w:type="page"/>
      </w:r>
    </w:p>
    <w:p>
      <w:pPr>
        <w:pStyle w:val="Heading1"/>
        <w:spacing w:after="200" w:before="400"/>
      </w:pPr>
      <w:r>
        <w:rPr>
          <w:b/>
          <w:bCs/>
          <w:color w:val="1A1A1A"/>
          <w:sz w:val="36"/>
          <w:szCs w:val="36"/>
        </w:rPr>
        <w:t xml:space="preserve">7 · Riesgos y mitigaciones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2900"/>
        <w:gridCol w:w="2926"/>
      </w:tblGrid>
      <w:tr>
        <w:trPr>
          <w:tblHeader/>
        </w:trPr>
        <w:tc>
          <w:tcPr>
            <w:tcW w:type="dxa" w:w="3200"/>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Riesgo</w:t>
            </w:r>
          </w:p>
        </w:tc>
        <w:tc>
          <w:tcPr>
            <w:tcW w:type="dxa" w:w="2900"/>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Probabilidad / impacto</w:t>
            </w:r>
          </w:p>
        </w:tc>
        <w:tc>
          <w:tcPr>
            <w:tcW w:type="dxa" w:w="2926"/>
            <w:tcBorders>
              <w:top w:val="single" w:color="D4C9B8" w:sz="4"/>
              <w:left w:val="single" w:color="D4C9B8" w:sz="4"/>
              <w:bottom w:val="single" w:color="D4C9B8" w:sz="4"/>
              <w:right w:val="single" w:color="D4C9B8" w:sz="4"/>
            </w:tcBorders>
            <w:shd w:fill="F5F1EB" w:val="clear"/>
            <w:tcMar>
              <w:top w:type="dxa" w:w="120"/>
              <w:left w:type="dxa" w:w="160"/>
              <w:bottom w:type="dxa" w:w="120"/>
              <w:right w:type="dxa" w:w="160"/>
            </w:tcMar>
          </w:tcPr>
          <w:p>
            <w:r>
              <w:rPr>
                <w:b/>
                <w:bCs/>
                <w:color w:val="1A1A1A"/>
                <w:sz w:val="20"/>
                <w:szCs w:val="20"/>
              </w:rPr>
              <w:t xml:space="preserve">Mitigación</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Óptico rechaza tablet en gabinete por percepción de frialdad con paciente</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Media / alta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Avatar configurable con voz e imagen del propio óptico (clonación HeyGen). Se posiciona como «mi asistente», no «un avatar Menicom»</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Distribución Menicom abre canal online y se rompe el insight estructural</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Baja / muy alta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Acuerdo escrito con Menicom de mantener distribución profesional durante mínimo 24 meses del programa</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WhatsApp Business API rechaza plantillas o cobra fees inesperados</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Media / media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Pre-aprobación de plantillas en fase 0. Backup vía email + SMS para pacientes sin WhatsApp</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Paciente percibe el avatar como manipulación comercial</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Baja / alta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Tono editorial, no infantil. Identificación clara como asesor digital. Óptico siempre cierra y firma. Disclaimers en el primer mensaje</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Conversión por debajo del objetivo en sprint</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Media / media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Soft launch de 4 ópticas antes del sprint completo permite ajustar guion y parámetros sin coste de marca</w:t>
            </w:r>
          </w:p>
        </w:tc>
      </w:tr>
      <w:tr>
        <w:tc>
          <w:tcPr>
            <w:tcW w:type="dxa" w:w="32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Cumplimiento RGPD en datos clínicos del paciente</w:t>
            </w:r>
          </w:p>
        </w:tc>
        <w:tc>
          <w:tcPr>
            <w:tcW w:type="dxa" w:w="2900"/>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Media / alta</w:t>
            </w:r>
          </w:p>
        </w:tc>
        <w:tc>
          <w:tcPr>
            <w:tcW w:type="dxa" w:w="2926"/>
            <w:tcBorders>
              <w:top w:val="single" w:color="D4C9B8" w:sz="4"/>
              <w:left w:val="single" w:color="D4C9B8" w:sz="4"/>
              <w:bottom w:val="single" w:color="D4C9B8" w:sz="4"/>
              <w:right w:val="single" w:color="D4C9B8" w:sz="4"/>
            </w:tcBorders>
            <w:tcMar>
              <w:top w:type="dxa" w:w="120"/>
              <w:left w:type="dxa" w:w="160"/>
              <w:bottom w:type="dxa" w:w="120"/>
              <w:right w:type="dxa" w:w="160"/>
            </w:tcMar>
          </w:tcPr>
          <w:p>
            <w:r>
              <w:rPr>
                <w:color w:val="1A1A1A"/>
                <w:sz w:val="20"/>
                <w:szCs w:val="20"/>
              </w:rPr>
              <w:t xml:space="preserve">Encargado de tratamiento entre Menicom y proveedor avatar. Consentimiento explícito en M0. Auditoría legal previa</w:t>
            </w:r>
          </w:p>
        </w:tc>
      </w:tr>
    </w:tbl>
    <w:p>
      <w:r>
        <w:br w:type="page"/>
      </w:r>
    </w:p>
    <w:p>
      <w:pPr>
        <w:pStyle w:val="Heading1"/>
        <w:spacing w:after="200" w:before="400"/>
      </w:pPr>
      <w:r>
        <w:rPr>
          <w:b/>
          <w:bCs/>
          <w:color w:val="1A1A1A"/>
          <w:sz w:val="36"/>
          <w:szCs w:val="36"/>
        </w:rPr>
        <w:t xml:space="preserve">8 · Siguiente paso</w:t>
      </w:r>
    </w:p>
    <w:p>
      <w:pPr>
        <w:spacing w:after="140"/>
        <w:jc w:val="both"/>
      </w:pPr>
      <w:r>
        <w:rPr>
          <w:color w:val="1A1A1A"/>
          <w:sz w:val="22"/>
          <w:szCs w:val="22"/>
        </w:rPr>
        <w:t xml:space="preserve">Praxia Atelier entrega con este documento maestro los cuatro anexos restantes (simulador margen, argumentario clínico, mapa 50 ópticas, presentación interna y pitch óptico). Antes de pasar al sprint, Menicom debe tomar tres decisiones:</w:t>
      </w:r>
    </w:p>
    <w:p>
      <w:pPr>
        <w:pStyle w:val="ListParagraph"/>
        <w:numPr>
          <w:ilvl w:val="0"/>
          <w:numId w:val="2"/>
        </w:numPr>
        <w:spacing w:after="80"/>
      </w:pPr>
      <w:r>
        <w:rPr>
          <w:color w:val="1A1A1A"/>
          <w:sz w:val="22"/>
          <w:szCs w:val="22"/>
        </w:rPr>
        <w:t xml:space="preserve">Validación del modelo de margen interno con datos reales de coste, PVP profesional y rappel.</w:t>
      </w:r>
    </w:p>
    <w:p>
      <w:pPr>
        <w:pStyle w:val="ListParagraph"/>
        <w:numPr>
          <w:ilvl w:val="0"/>
          <w:numId w:val="2"/>
        </w:numPr>
        <w:spacing w:after="80"/>
      </w:pPr>
      <w:r>
        <w:rPr>
          <w:color w:val="1A1A1A"/>
          <w:sz w:val="22"/>
          <w:szCs w:val="22"/>
        </w:rPr>
        <w:t xml:space="preserve">Confirmación del alcance geográfico (las tres zonas de Marta o concentrar piloto en una sola).</w:t>
      </w:r>
    </w:p>
    <w:p>
      <w:pPr>
        <w:pStyle w:val="ListParagraph"/>
        <w:numPr>
          <w:ilvl w:val="0"/>
          <w:numId w:val="2"/>
        </w:numPr>
        <w:spacing w:after="80"/>
      </w:pPr>
      <w:r>
        <w:rPr>
          <w:color w:val="1A1A1A"/>
          <w:sz w:val="22"/>
          <w:szCs w:val="22"/>
        </w:rPr>
        <w:t xml:space="preserve">Aprobación del presupuesto del programa avatar (estimado 80-150 €/óptica/mes durante el sprint).</w:t>
      </w:r>
    </w:p>
    <w:p>
      <w:pPr>
        <w:spacing w:after="140"/>
        <w:jc w:val="both"/>
      </w:pPr>
      <w:r>
        <w:rPr>
          <w:color w:val="1A1A1A"/>
          <w:sz w:val="22"/>
          <w:szCs w:val="22"/>
        </w:rPr>
        <w:t xml:space="preserve">Una vez tomadas estas tres decisiones, Praxia puede arrancar la fase 0 en un plazo de dos semanas y tener el sprint completo desplegado en doce semanas.</w:t>
      </w:r>
    </w:p>
    <w:p>
      <w:pPr>
        <w:spacing w:before="600"/>
      </w:pPr>
      <w:r>
        <w:rPr>
          <w:i/>
          <w:iCs/>
          <w:color w:val="555555"/>
          <w:sz w:val="20"/>
          <w:szCs w:val="20"/>
        </w:rPr>
        <w:t xml:space="preserve">Fin del documento maestro · v1 · Mayo 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555555"/>
        <w:sz w:val="18"/>
        <w:szCs w:val="18"/>
      </w:rPr>
      <w:t xml:space="preserve">Confidencial · Borrador v1 · Mayo 2026</w:t>
    </w:r>
    <w:r>
      <w:rPr>
        <w:color w:val="555555"/>
        <w:sz w:val="18"/>
        <w:szCs w:val="18"/>
      </w:rPr>
      <w:t xml:space="preserve">	Página </w:t>
    </w:r>
    <w:r>
      <w:rPr>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8"/>
        <w:szCs w:val="18"/>
      </w:rPr>
      <w:t xml:space="preserve">PRAXIA ATELIER · Programa Menicom Readaptación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Calibri" w:cs="Calibri" w:eastAsia="Calibri" w:hAnsi="Calibri"/>
      <w:b/>
      <w:bCs/>
      <w:sz w:val="36"/>
      <w:szCs w:val="36"/>
    </w:rPr>
  </w:style>
  <w:style w:type="paragraph" w:styleId="Heading2">
    <w:name w:val="Heading 2"/>
    <w:basedOn w:val="Normal"/>
    <w:next w:val="Normal"/>
    <w:qFormat/>
    <w:pPr>
      <w:spacing w:after="150" w:before="300"/>
      <w:outlineLvl w:val="1"/>
    </w:pPr>
    <w:rPr>
      <w:rFonts w:ascii="Calibri" w:cs="Calibri" w:eastAsia="Calibri" w:hAnsi="Calibri"/>
      <w:b/>
      <w:bCs/>
      <w:sz w:val="28"/>
      <w:szCs w:val="28"/>
    </w:rPr>
  </w:style>
  <w:style w:type="paragraph" w:styleId="Heading3">
    <w:name w:val="Heading 3"/>
    <w:basedOn w:val="Normal"/>
    <w:next w:val="Normal"/>
    <w:qFormat/>
    <w:pPr>
      <w:spacing w:after="100" w:before="220"/>
      <w:outlineLvl w:val="2"/>
    </w:pPr>
    <w:rPr>
      <w:rFonts w:ascii="Calibri" w:cs="Calibri" w:eastAsia="Calibri" w:hAnsi="Calibri"/>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Menicom Readaptación · Documento Maestro</dc:title>
  <dc:creator>Praxia Atelier</dc:creator>
  <cp:lastModifiedBy>Un-named</cp:lastModifiedBy>
  <cp:revision>1</cp:revision>
  <dcterms:created xsi:type="dcterms:W3CDTF">2026-05-09T01:53:43.489Z</dcterms:created>
  <dcterms:modified xsi:type="dcterms:W3CDTF">2026-05-09T01:53:43.490Z</dcterms:modified>
</cp:coreProperties>
</file>

<file path=docProps/custom.xml><?xml version="1.0" encoding="utf-8"?>
<Properties xmlns="http://schemas.openxmlformats.org/officeDocument/2006/custom-properties" xmlns:vt="http://schemas.openxmlformats.org/officeDocument/2006/docPropsVTypes"/>
</file>